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B1" w:rsidRDefault="00EB50B1">
      <w:pPr>
        <w:pStyle w:val="BodyText"/>
        <w:rPr>
          <w:rFonts w:ascii="Arial" w:hAnsi="Arial" w:cs="Arial"/>
        </w:rPr>
      </w:pPr>
      <w:r>
        <w:t>Rozwiązanie zadania z zakresu prawa cywilnego, postępowania cywilnego, prawa rodzinnego i opiekuńczego</w:t>
      </w:r>
    </w:p>
    <w:p w:rsidR="00EB50B1" w:rsidRDefault="00EB50B1">
      <w:pPr>
        <w:rPr>
          <w:rFonts w:cs="Times New Roman"/>
        </w:rPr>
      </w:pPr>
      <w:r>
        <w:rPr>
          <w:rFonts w:cs="Times New Roman"/>
        </w:rPr>
        <w:t xml:space="preserve">a/ art. 347 zd. 1 k.p.c. </w:t>
      </w:r>
    </w:p>
    <w:p w:rsidR="00EB50B1" w:rsidRDefault="00EB50B1">
      <w:pPr>
        <w:rPr>
          <w:rFonts w:cs="Times New Roman"/>
        </w:rPr>
      </w:pPr>
      <w:r>
        <w:rPr>
          <w:rFonts w:cs="Times New Roman"/>
        </w:rPr>
        <w:t xml:space="preserve">b/ art. 233 §1 k.p.c. </w:t>
      </w:r>
    </w:p>
    <w:p w:rsidR="00EB50B1" w:rsidRDefault="00EB50B1">
      <w:pPr>
        <w:rPr>
          <w:rFonts w:cs="Times New Roman"/>
        </w:rPr>
      </w:pPr>
      <w:r>
        <w:rPr>
          <w:rFonts w:cs="Times New Roman"/>
        </w:rPr>
        <w:t xml:space="preserve">c/ art. 365 k.p.c. i art. 366 k.p.c. </w:t>
      </w:r>
    </w:p>
    <w:p w:rsidR="00EB50B1" w:rsidRDefault="00EB50B1">
      <w:pPr>
        <w:rPr>
          <w:rFonts w:ascii="Arial" w:hAnsi="Arial" w:cs="Arial"/>
        </w:rPr>
      </w:pPr>
      <w:r>
        <w:rPr>
          <w:rFonts w:cs="Times New Roman"/>
        </w:rPr>
        <w:t>d/ art. 235[2]§1 pkt 1 I pkt 2 k.p.c. w zw. z  art. 227 k.p.c.</w:t>
      </w:r>
    </w:p>
    <w:p w:rsidR="00EB50B1" w:rsidRDefault="00EB50B1">
      <w:pPr>
        <w:rPr>
          <w:rFonts w:cs="Times New Roman"/>
        </w:rPr>
      </w:pPr>
      <w:r>
        <w:rPr>
          <w:rFonts w:cs="Times New Roman"/>
        </w:rPr>
        <w:t xml:space="preserve">e/ sprzeczność istotnych ustaleń sądu  z treści zebranego w sprawie materiału dowodowego , przy uwzględnieniu art. 327[1] §1 pkt 1 k.p.c. </w:t>
      </w:r>
    </w:p>
    <w:p w:rsidR="00EB50B1" w:rsidRDefault="00EB50B1">
      <w:pPr>
        <w:rPr>
          <w:rFonts w:cs="Times New Roman"/>
        </w:rPr>
      </w:pPr>
      <w:r>
        <w:rPr>
          <w:rFonts w:cs="Times New Roman"/>
          <w:lang w:val="de-DE"/>
        </w:rPr>
        <w:t xml:space="preserve">f/art. 102 k.p.c.  </w:t>
      </w:r>
      <w:r>
        <w:rPr>
          <w:rFonts w:cs="Times New Roman"/>
        </w:rPr>
        <w:t xml:space="preserve">orz art. 98 §1, §1[1] i §3 k.p.c. w zw. z art. 99 k.p.c. i art. 108 §1 k.p.c. </w:t>
      </w:r>
    </w:p>
    <w:p w:rsidR="00EB50B1" w:rsidRDefault="00EB50B1">
      <w:pPr>
        <w:rPr>
          <w:rFonts w:ascii="Arial" w:hAnsi="Arial" w:cs="Arial"/>
        </w:rPr>
      </w:pPr>
      <w:r>
        <w:rPr>
          <w:rFonts w:cs="Times New Roman"/>
        </w:rPr>
        <w:t xml:space="preserve">g/ art. 13 ust. 2 ustawy o kosztach sądowych w sprawach cywilnych </w:t>
      </w:r>
    </w:p>
    <w:p w:rsidR="00EB50B1" w:rsidRDefault="00EB50B1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h/ art. 527 §1 k.c., art. 527 §2 k.c., art. 527 §3 k.c. </w:t>
      </w:r>
    </w:p>
    <w:p w:rsidR="00EB50B1" w:rsidRDefault="00EB50B1">
      <w:pPr>
        <w:rPr>
          <w:rFonts w:ascii="Arial" w:hAnsi="Arial" w:cs="Arial"/>
          <w:lang w:val="de-DE"/>
        </w:rPr>
      </w:pPr>
    </w:p>
    <w:sectPr w:rsidR="00EB50B1" w:rsidSect="00EB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0B1"/>
    <w:rsid w:val="00EB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60" w:after="80"/>
      <w:outlineLvl w:val="0"/>
    </w:pPr>
    <w:rPr>
      <w:rFonts w:ascii="Calibri Light" w:hAnsi="Calibri Light" w:cs="Calibri Light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160" w:after="80"/>
      <w:outlineLvl w:val="1"/>
    </w:pPr>
    <w:rPr>
      <w:rFonts w:ascii="Calibri Light" w:hAnsi="Calibri Light" w:cs="Calibri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160" w:after="80"/>
      <w:outlineLvl w:val="2"/>
    </w:pPr>
    <w:rPr>
      <w:rFonts w:ascii="Calibri" w:hAnsi="Calibri" w:cs="Calibr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80" w:after="40"/>
      <w:outlineLvl w:val="3"/>
    </w:pPr>
    <w:rPr>
      <w:rFonts w:ascii="Calibri" w:hAnsi="Calibri" w:cs="Calibri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80" w:after="40"/>
      <w:outlineLvl w:val="4"/>
    </w:pPr>
    <w:rPr>
      <w:rFonts w:ascii="Calibri" w:hAnsi="Calibri" w:cs="Calibri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40" w:after="0"/>
      <w:outlineLvl w:val="5"/>
    </w:pPr>
    <w:rPr>
      <w:rFonts w:ascii="Calibri" w:hAnsi="Calibri" w:cs="Calibri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40" w:after="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after="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after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 Light" w:hAnsi="Calibri Light" w:cs="Calibri Light"/>
      <w:color w:val="auto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libri Light" w:hAnsi="Calibri Light" w:cs="Calibri Light"/>
      <w:color w:val="auto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color w:val="auto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i/>
      <w:iCs/>
      <w:color w:val="auto"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color w:val="auto"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color w:val="auto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80" w:line="240" w:lineRule="auto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Calibri" w:hAnsi="Calibri" w:cs="Calibr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color w:val="auto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pPr>
      <w:spacing w:before="160"/>
      <w:jc w:val="center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i/>
      <w:iCs/>
      <w:color w:val="auto"/>
      <w:kern w:val="0"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88</Words>
  <Characters>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Rozwiązanie kazusu dla aplikantów </dc:title>
  <dc:subject/>
  <dc:creator>dorota gierczak</dc:creator>
  <cp:keywords/>
  <dc:description/>
  <cp:lastModifiedBy>user</cp:lastModifiedBy>
  <cp:revision>4</cp:revision>
  <dcterms:created xsi:type="dcterms:W3CDTF">2025-10-29T17:03:00Z</dcterms:created>
  <dcterms:modified xsi:type="dcterms:W3CDTF">2025-11-03T08:32:00Z</dcterms:modified>
</cp:coreProperties>
</file>